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b/>
          <w:bCs/>
          <w:sz w:val="36"/>
          <w:szCs w:val="36"/>
          <w:lang w:eastAsia="cs-CZ"/>
        </w:rPr>
        <w:t>PENB, Energetický štítek</w:t>
      </w:r>
      <w:r w:rsidRPr="0054617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společnost Cangor a.s.</w:t>
      </w:r>
      <w:r w:rsidRPr="00546173">
        <w:rPr>
          <w:rFonts w:ascii="Times New Roman" w:eastAsia="Times New Roman" w:hAnsi="Times New Roman" w:cs="Times New Roman"/>
          <w:sz w:val="24"/>
          <w:szCs w:val="24"/>
          <w:lang w:eastAsia="cs-CZ"/>
        </w:rPr>
        <w:t xml:space="preserve"> vypracuje</w:t>
      </w:r>
      <w:r w:rsidRPr="00546173">
        <w:rPr>
          <w:rFonts w:ascii="Times New Roman" w:eastAsia="Times New Roman" w:hAnsi="Times New Roman" w:cs="Times New Roman"/>
          <w:b/>
          <w:bCs/>
          <w:sz w:val="24"/>
          <w:szCs w:val="24"/>
          <w:lang w:eastAsia="cs-CZ"/>
        </w:rPr>
        <w:t xml:space="preserve"> průkaz energetické náročnosti budov (PENB)</w:t>
      </w:r>
      <w:r w:rsidRPr="00546173">
        <w:rPr>
          <w:rFonts w:ascii="Times New Roman" w:eastAsia="Times New Roman" w:hAnsi="Times New Roman" w:cs="Times New Roman"/>
          <w:sz w:val="24"/>
          <w:szCs w:val="24"/>
          <w:lang w:eastAsia="cs-CZ"/>
        </w:rPr>
        <w:t xml:space="preserve">, který bude zhotoven dle vyhlášky č. 148/2007 Sb. nebo </w:t>
      </w:r>
      <w:r w:rsidRPr="00546173">
        <w:rPr>
          <w:rFonts w:ascii="Times New Roman" w:eastAsia="Times New Roman" w:hAnsi="Times New Roman" w:cs="Times New Roman"/>
          <w:b/>
          <w:bCs/>
          <w:sz w:val="24"/>
          <w:szCs w:val="24"/>
          <w:lang w:eastAsia="cs-CZ"/>
        </w:rPr>
        <w:t>energetický štítek budov</w:t>
      </w:r>
      <w:r w:rsidRPr="00546173">
        <w:rPr>
          <w:rFonts w:ascii="Times New Roman" w:eastAsia="Times New Roman" w:hAnsi="Times New Roman" w:cs="Times New Roman"/>
          <w:sz w:val="24"/>
          <w:szCs w:val="24"/>
          <w:lang w:eastAsia="cs-CZ"/>
        </w:rPr>
        <w:t xml:space="preserve"> zpracovaný dle ČSN 730540-2.</w:t>
      </w:r>
    </w:p>
    <w:p w:rsidR="00546173" w:rsidRPr="00546173" w:rsidRDefault="00546173" w:rsidP="0054617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546173" w:rsidRPr="00546173" w:rsidRDefault="00546173" w:rsidP="0054617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162175" cy="1743075"/>
            <wp:effectExtent l="19050" t="0" r="9525" b="0"/>
            <wp:docPr id="1" name="obrázek 1" descr="stitek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tekhome"/>
                    <pic:cNvPicPr>
                      <a:picLocks noChangeAspect="1" noChangeArrowheads="1"/>
                    </pic:cNvPicPr>
                  </pic:nvPicPr>
                  <pic:blipFill>
                    <a:blip r:embed="rId4" cstate="print"/>
                    <a:srcRect/>
                    <a:stretch>
                      <a:fillRect/>
                    </a:stretch>
                  </pic:blipFill>
                  <pic:spPr bwMode="auto">
                    <a:xfrm>
                      <a:off x="0" y="0"/>
                      <a:ext cx="2162175" cy="1743075"/>
                    </a:xfrm>
                    <a:prstGeom prst="rect">
                      <a:avLst/>
                    </a:prstGeom>
                    <a:noFill/>
                    <a:ln w="9525">
                      <a:noFill/>
                      <a:miter lim="800000"/>
                      <a:headEnd/>
                      <a:tailEnd/>
                    </a:ln>
                  </pic:spPr>
                </pic:pic>
              </a:graphicData>
            </a:graphic>
          </wp:inline>
        </w:drawing>
      </w: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sz w:val="24"/>
          <w:szCs w:val="24"/>
          <w:lang w:eastAsia="cs-CZ"/>
        </w:rPr>
        <w:t xml:space="preserve">Podle </w:t>
      </w:r>
      <w:r w:rsidRPr="00546173">
        <w:rPr>
          <w:rFonts w:ascii="Times New Roman" w:eastAsia="Times New Roman" w:hAnsi="Times New Roman" w:cs="Times New Roman"/>
          <w:b/>
          <w:bCs/>
          <w:sz w:val="24"/>
          <w:szCs w:val="24"/>
          <w:lang w:eastAsia="cs-CZ"/>
        </w:rPr>
        <w:t>novely zákona č. 406/2000 Sb. O hospodaření energií</w:t>
      </w:r>
      <w:r w:rsidRPr="00546173">
        <w:rPr>
          <w:rFonts w:ascii="Times New Roman" w:eastAsia="Times New Roman" w:hAnsi="Times New Roman" w:cs="Times New Roman"/>
          <w:sz w:val="24"/>
          <w:szCs w:val="24"/>
          <w:lang w:eastAsia="cs-CZ"/>
        </w:rPr>
        <w:t xml:space="preserve">, která byla schválena poslaneckou sněmovnou v záři 2012, bude nutnost mít od 1. ledna 2013 zpracovaný </w:t>
      </w:r>
      <w:r w:rsidRPr="00546173">
        <w:rPr>
          <w:rFonts w:ascii="Times New Roman" w:eastAsia="Times New Roman" w:hAnsi="Times New Roman" w:cs="Times New Roman"/>
          <w:b/>
          <w:bCs/>
          <w:sz w:val="24"/>
          <w:szCs w:val="24"/>
          <w:lang w:eastAsia="cs-CZ"/>
        </w:rPr>
        <w:t xml:space="preserve">průkaz energetické náročnosti budovy </w:t>
      </w:r>
      <w:r w:rsidRPr="00546173">
        <w:rPr>
          <w:rFonts w:ascii="Times New Roman" w:eastAsia="Times New Roman" w:hAnsi="Times New Roman" w:cs="Times New Roman"/>
          <w:sz w:val="24"/>
          <w:szCs w:val="24"/>
          <w:lang w:eastAsia="cs-CZ"/>
        </w:rPr>
        <w:t>pro každou</w:t>
      </w:r>
      <w:r w:rsidRPr="00546173">
        <w:rPr>
          <w:rFonts w:ascii="Times New Roman" w:eastAsia="Times New Roman" w:hAnsi="Times New Roman" w:cs="Times New Roman"/>
          <w:b/>
          <w:bCs/>
          <w:sz w:val="24"/>
          <w:szCs w:val="24"/>
          <w:lang w:eastAsia="cs-CZ"/>
        </w:rPr>
        <w:t xml:space="preserve"> nemovitost</w:t>
      </w:r>
      <w:r w:rsidRPr="00546173">
        <w:rPr>
          <w:rFonts w:ascii="Times New Roman" w:eastAsia="Times New Roman" w:hAnsi="Times New Roman" w:cs="Times New Roman"/>
          <w:sz w:val="24"/>
          <w:szCs w:val="24"/>
          <w:lang w:eastAsia="cs-CZ"/>
        </w:rPr>
        <w:t xml:space="preserve">, která bude předmětem </w:t>
      </w:r>
      <w:r w:rsidRPr="00546173">
        <w:rPr>
          <w:rFonts w:ascii="Times New Roman" w:eastAsia="Times New Roman" w:hAnsi="Times New Roman" w:cs="Times New Roman"/>
          <w:b/>
          <w:bCs/>
          <w:sz w:val="24"/>
          <w:szCs w:val="24"/>
          <w:lang w:eastAsia="cs-CZ"/>
        </w:rPr>
        <w:t>prodeje</w:t>
      </w:r>
      <w:r w:rsidRPr="00546173">
        <w:rPr>
          <w:rFonts w:ascii="Times New Roman" w:eastAsia="Times New Roman" w:hAnsi="Times New Roman" w:cs="Times New Roman"/>
          <w:sz w:val="24"/>
          <w:szCs w:val="24"/>
          <w:lang w:eastAsia="cs-CZ"/>
        </w:rPr>
        <w:t xml:space="preserve"> nebo </w:t>
      </w:r>
      <w:r w:rsidRPr="00546173">
        <w:rPr>
          <w:rFonts w:ascii="Times New Roman" w:eastAsia="Times New Roman" w:hAnsi="Times New Roman" w:cs="Times New Roman"/>
          <w:b/>
          <w:bCs/>
          <w:sz w:val="24"/>
          <w:szCs w:val="24"/>
          <w:lang w:eastAsia="cs-CZ"/>
        </w:rPr>
        <w:t>nákupu</w:t>
      </w:r>
      <w:r w:rsidRPr="00546173">
        <w:rPr>
          <w:rFonts w:ascii="Times New Roman" w:eastAsia="Times New Roman" w:hAnsi="Times New Roman" w:cs="Times New Roman"/>
          <w:sz w:val="24"/>
          <w:szCs w:val="24"/>
          <w:lang w:eastAsia="cs-CZ"/>
        </w:rPr>
        <w:t>.</w:t>
      </w:r>
      <w:r w:rsidRPr="00546173">
        <w:rPr>
          <w:rFonts w:ascii="Times New Roman" w:eastAsia="Times New Roman" w:hAnsi="Times New Roman" w:cs="Times New Roman"/>
          <w:b/>
          <w:bCs/>
          <w:sz w:val="24"/>
          <w:szCs w:val="24"/>
          <w:lang w:eastAsia="cs-CZ"/>
        </w:rPr>
        <w:t xml:space="preserve"> Průkaz</w:t>
      </w:r>
      <w:r w:rsidRPr="00546173">
        <w:rPr>
          <w:rFonts w:ascii="Times New Roman" w:eastAsia="Times New Roman" w:hAnsi="Times New Roman" w:cs="Times New Roman"/>
          <w:sz w:val="24"/>
          <w:szCs w:val="24"/>
          <w:lang w:eastAsia="cs-CZ"/>
        </w:rPr>
        <w:t xml:space="preserve"> informuje o celkové energetické spotřebě budovy (údaje v </w:t>
      </w:r>
      <w:proofErr w:type="spellStart"/>
      <w:r w:rsidRPr="00546173">
        <w:rPr>
          <w:rFonts w:ascii="Times New Roman" w:eastAsia="Times New Roman" w:hAnsi="Times New Roman" w:cs="Times New Roman"/>
          <w:sz w:val="24"/>
          <w:szCs w:val="24"/>
          <w:lang w:eastAsia="cs-CZ"/>
        </w:rPr>
        <w:t>KWh</w:t>
      </w:r>
      <w:proofErr w:type="spellEnd"/>
      <w:r w:rsidRPr="00546173">
        <w:rPr>
          <w:rFonts w:ascii="Times New Roman" w:eastAsia="Times New Roman" w:hAnsi="Times New Roman" w:cs="Times New Roman"/>
          <w:sz w:val="24"/>
          <w:szCs w:val="24"/>
          <w:lang w:eastAsia="cs-CZ"/>
        </w:rPr>
        <w:t xml:space="preserve">/m2 za rok). V celkové spotřebě je zahrnuta nejen spotřeba energie na </w:t>
      </w:r>
      <w:r w:rsidRPr="00546173">
        <w:rPr>
          <w:rFonts w:ascii="Times New Roman" w:eastAsia="Times New Roman" w:hAnsi="Times New Roman" w:cs="Times New Roman"/>
          <w:b/>
          <w:bCs/>
          <w:sz w:val="24"/>
          <w:szCs w:val="24"/>
          <w:lang w:eastAsia="cs-CZ"/>
        </w:rPr>
        <w:t>vytápění objektu</w:t>
      </w:r>
      <w:r w:rsidRPr="00546173">
        <w:rPr>
          <w:rFonts w:ascii="Times New Roman" w:eastAsia="Times New Roman" w:hAnsi="Times New Roman" w:cs="Times New Roman"/>
          <w:sz w:val="24"/>
          <w:szCs w:val="24"/>
          <w:lang w:eastAsia="cs-CZ"/>
        </w:rPr>
        <w:t xml:space="preserve"> (podle čehož byly budovy hodnoceny doposud), ale i za chlazení, přípravu teplé vody, vzduchotechniku, osvětlení a provoz zařízení zajišťující chod jednotlivých systémů.</w:t>
      </w: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sz w:val="24"/>
          <w:szCs w:val="24"/>
          <w:lang w:eastAsia="cs-CZ"/>
        </w:rPr>
        <w:t> V rámci poskytování služeb dále nabízíme zhotovení</w:t>
      </w:r>
      <w:r w:rsidRPr="00546173">
        <w:rPr>
          <w:rFonts w:ascii="Times New Roman" w:eastAsia="Times New Roman" w:hAnsi="Times New Roman" w:cs="Times New Roman"/>
          <w:b/>
          <w:bCs/>
          <w:sz w:val="24"/>
          <w:szCs w:val="24"/>
          <w:lang w:eastAsia="cs-CZ"/>
        </w:rPr>
        <w:t xml:space="preserve"> energetického auditu, znaleckých posudků pro oceňování nemovitostí, projekční činnost</w:t>
      </w:r>
      <w:r w:rsidRPr="00546173">
        <w:rPr>
          <w:rFonts w:ascii="Times New Roman" w:eastAsia="Times New Roman" w:hAnsi="Times New Roman" w:cs="Times New Roman"/>
          <w:sz w:val="24"/>
          <w:szCs w:val="24"/>
          <w:lang w:eastAsia="cs-CZ"/>
        </w:rPr>
        <w:t xml:space="preserve"> ve všech stupních </w:t>
      </w:r>
      <w:r w:rsidRPr="00546173">
        <w:rPr>
          <w:rFonts w:ascii="Times New Roman" w:eastAsia="Times New Roman" w:hAnsi="Times New Roman" w:cs="Times New Roman"/>
          <w:b/>
          <w:bCs/>
          <w:sz w:val="24"/>
          <w:szCs w:val="24"/>
          <w:lang w:eastAsia="cs-CZ"/>
        </w:rPr>
        <w:t>projektové dokumentace</w:t>
      </w:r>
      <w:r w:rsidRPr="00546173">
        <w:rPr>
          <w:rFonts w:ascii="Times New Roman" w:eastAsia="Times New Roman" w:hAnsi="Times New Roman" w:cs="Times New Roman"/>
          <w:sz w:val="24"/>
          <w:szCs w:val="24"/>
          <w:lang w:eastAsia="cs-CZ"/>
        </w:rPr>
        <w:t xml:space="preserve"> včetně</w:t>
      </w:r>
      <w:r w:rsidRPr="00546173">
        <w:rPr>
          <w:rFonts w:ascii="Times New Roman" w:eastAsia="Times New Roman" w:hAnsi="Times New Roman" w:cs="Times New Roman"/>
          <w:b/>
          <w:bCs/>
          <w:sz w:val="24"/>
          <w:szCs w:val="24"/>
          <w:lang w:eastAsia="cs-CZ"/>
        </w:rPr>
        <w:t xml:space="preserve"> inženýrské činnosti</w:t>
      </w:r>
      <w:r w:rsidRPr="00546173">
        <w:rPr>
          <w:rFonts w:ascii="Times New Roman" w:eastAsia="Times New Roman" w:hAnsi="Times New Roman" w:cs="Times New Roman"/>
          <w:sz w:val="24"/>
          <w:szCs w:val="24"/>
          <w:lang w:eastAsia="cs-CZ"/>
        </w:rPr>
        <w:t xml:space="preserve"> a </w:t>
      </w:r>
      <w:r w:rsidRPr="00546173">
        <w:rPr>
          <w:rFonts w:ascii="Times New Roman" w:eastAsia="Times New Roman" w:hAnsi="Times New Roman" w:cs="Times New Roman"/>
          <w:b/>
          <w:bCs/>
          <w:sz w:val="24"/>
          <w:szCs w:val="24"/>
          <w:lang w:eastAsia="cs-CZ"/>
        </w:rPr>
        <w:t>pasporty stávajících staveb</w:t>
      </w:r>
      <w:r w:rsidRPr="00546173">
        <w:rPr>
          <w:rFonts w:ascii="Times New Roman" w:eastAsia="Times New Roman" w:hAnsi="Times New Roman" w:cs="Times New Roman"/>
          <w:sz w:val="24"/>
          <w:szCs w:val="24"/>
          <w:lang w:eastAsia="cs-CZ"/>
        </w:rPr>
        <w:t xml:space="preserve"> (zaměření a vykreslení stávajícího stavu).</w:t>
      </w: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b/>
          <w:bCs/>
          <w:sz w:val="24"/>
          <w:szCs w:val="24"/>
          <w:lang w:eastAsia="cs-CZ"/>
        </w:rPr>
        <w:t>Stavby, které musí mít průkaz již nyní:</w:t>
      </w: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sz w:val="24"/>
          <w:szCs w:val="24"/>
          <w:lang w:eastAsia="cs-CZ"/>
        </w:rPr>
        <w:t>Veškeré novostavby. V tomto případě se průkaz energetické náročnosti budovy (PENB) vystavuje ve fázi projektu. Nový dům se musí vejít do třídy A až C. Pokud stavby vyjde v horší kategorii, musí se projektová dokumentace přepracovat</w:t>
      </w:r>
    </w:p>
    <w:p w:rsid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sz w:val="24"/>
          <w:szCs w:val="24"/>
          <w:lang w:eastAsia="cs-CZ"/>
        </w:rPr>
        <w:t>Průkaz energetické náročnosti budov, musí být při větší úpravě již dokončené stavby. Větší úpravou se rozumí změna na více než 25% celkové plochy obálky budovy, tedy např. při zateplení budovy.</w:t>
      </w:r>
    </w:p>
    <w:p w:rsid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b/>
          <w:bCs/>
          <w:sz w:val="24"/>
          <w:szCs w:val="24"/>
          <w:lang w:eastAsia="cs-CZ"/>
        </w:rPr>
        <w:lastRenderedPageBreak/>
        <w:t>Stavby, které průkaz budou muset mít:</w:t>
      </w:r>
    </w:p>
    <w:p w:rsidR="00546173" w:rsidRPr="00546173" w:rsidRDefault="00546173" w:rsidP="00546173">
      <w:pPr>
        <w:spacing w:before="100" w:beforeAutospacing="1" w:after="100" w:afterAutospacing="1" w:line="240" w:lineRule="auto"/>
        <w:rPr>
          <w:rFonts w:ascii="Times New Roman" w:eastAsia="Times New Roman" w:hAnsi="Times New Roman" w:cs="Times New Roman"/>
          <w:sz w:val="24"/>
          <w:szCs w:val="24"/>
          <w:lang w:eastAsia="cs-CZ"/>
        </w:rPr>
      </w:pPr>
      <w:r w:rsidRPr="00546173">
        <w:rPr>
          <w:rFonts w:ascii="Times New Roman" w:eastAsia="Times New Roman" w:hAnsi="Times New Roman" w:cs="Times New Roman"/>
          <w:sz w:val="24"/>
          <w:szCs w:val="24"/>
          <w:lang w:eastAsia="cs-CZ"/>
        </w:rPr>
        <w:t xml:space="preserve">Od </w:t>
      </w:r>
      <w:proofErr w:type="gramStart"/>
      <w:r w:rsidRPr="00546173">
        <w:rPr>
          <w:rFonts w:ascii="Times New Roman" w:eastAsia="Times New Roman" w:hAnsi="Times New Roman" w:cs="Times New Roman"/>
          <w:sz w:val="24"/>
          <w:szCs w:val="24"/>
          <w:lang w:eastAsia="cs-CZ"/>
        </w:rPr>
        <w:t>1.1. 2013</w:t>
      </w:r>
      <w:proofErr w:type="gramEnd"/>
      <w:r w:rsidRPr="00546173">
        <w:rPr>
          <w:rFonts w:ascii="Times New Roman" w:eastAsia="Times New Roman" w:hAnsi="Times New Roman" w:cs="Times New Roman"/>
          <w:sz w:val="24"/>
          <w:szCs w:val="24"/>
          <w:lang w:eastAsia="cs-CZ"/>
        </w:rPr>
        <w:t xml:space="preserve"> – při prodeji budovy nebo její ucelené části (například bytu) a při pronájmu domu.</w:t>
      </w:r>
      <w:r w:rsidRPr="00546173">
        <w:rPr>
          <w:rFonts w:ascii="Times New Roman" w:eastAsia="Times New Roman" w:hAnsi="Times New Roman" w:cs="Times New Roman"/>
          <w:sz w:val="24"/>
          <w:szCs w:val="24"/>
          <w:lang w:eastAsia="cs-CZ"/>
        </w:rPr>
        <w:br/>
        <w:t>Od 1.7. 2013 – budovy užívané orgány veřejné moci s celkovou energeticky vztažnou plochou větší než 500m</w:t>
      </w:r>
      <w:r w:rsidRPr="00546173">
        <w:rPr>
          <w:rFonts w:ascii="Times New Roman" w:eastAsia="Times New Roman" w:hAnsi="Times New Roman" w:cs="Times New Roman"/>
          <w:sz w:val="24"/>
          <w:szCs w:val="24"/>
          <w:vertAlign w:val="superscript"/>
          <w:lang w:eastAsia="cs-CZ"/>
        </w:rPr>
        <w:t>2</w:t>
      </w:r>
      <w:r w:rsidRPr="00546173">
        <w:rPr>
          <w:rFonts w:ascii="Times New Roman" w:eastAsia="Times New Roman" w:hAnsi="Times New Roman" w:cs="Times New Roman"/>
          <w:sz w:val="24"/>
          <w:szCs w:val="24"/>
          <w:lang w:eastAsia="cs-CZ"/>
        </w:rPr>
        <w:t>.</w:t>
      </w:r>
      <w:r w:rsidRPr="00546173">
        <w:rPr>
          <w:rFonts w:ascii="Times New Roman" w:eastAsia="Times New Roman" w:hAnsi="Times New Roman" w:cs="Times New Roman"/>
          <w:sz w:val="24"/>
          <w:szCs w:val="24"/>
          <w:lang w:eastAsia="cs-CZ"/>
        </w:rPr>
        <w:br/>
        <w:t>Od 1.1. 2015 – stávající bytové domy nebo administrativní budovy s celkovou energeticky vztažnou plochou větší než</w:t>
      </w:r>
      <w:r w:rsidRPr="00546173">
        <w:rPr>
          <w:rFonts w:ascii="Times New Roman" w:eastAsia="Times New Roman" w:hAnsi="Times New Roman" w:cs="Times New Roman"/>
          <w:sz w:val="24"/>
          <w:szCs w:val="24"/>
          <w:lang w:eastAsia="cs-CZ"/>
        </w:rPr>
        <w:br/>
        <w:t>                      1500m</w:t>
      </w:r>
      <w:r w:rsidRPr="00546173">
        <w:rPr>
          <w:rFonts w:ascii="Times New Roman" w:eastAsia="Times New Roman" w:hAnsi="Times New Roman" w:cs="Times New Roman"/>
          <w:sz w:val="24"/>
          <w:szCs w:val="24"/>
          <w:vertAlign w:val="superscript"/>
          <w:lang w:eastAsia="cs-CZ"/>
        </w:rPr>
        <w:t>2</w:t>
      </w:r>
      <w:r w:rsidRPr="00546173">
        <w:rPr>
          <w:rFonts w:ascii="Times New Roman" w:eastAsia="Times New Roman" w:hAnsi="Times New Roman" w:cs="Times New Roman"/>
          <w:sz w:val="24"/>
          <w:szCs w:val="24"/>
          <w:lang w:eastAsia="cs-CZ"/>
        </w:rPr>
        <w:t>.</w:t>
      </w:r>
      <w:r w:rsidRPr="00546173">
        <w:rPr>
          <w:rFonts w:ascii="Times New Roman" w:eastAsia="Times New Roman" w:hAnsi="Times New Roman" w:cs="Times New Roman"/>
          <w:sz w:val="24"/>
          <w:szCs w:val="24"/>
          <w:lang w:eastAsia="cs-CZ"/>
        </w:rPr>
        <w:br/>
        <w:t>Od 1.7. 2015 – budovy užívané orgány veřejné moci s celkovou energeticky vztažnou plochou větší než 250m</w:t>
      </w:r>
      <w:r w:rsidRPr="00546173">
        <w:rPr>
          <w:rFonts w:ascii="Times New Roman" w:eastAsia="Times New Roman" w:hAnsi="Times New Roman" w:cs="Times New Roman"/>
          <w:sz w:val="24"/>
          <w:szCs w:val="24"/>
          <w:vertAlign w:val="superscript"/>
          <w:lang w:eastAsia="cs-CZ"/>
        </w:rPr>
        <w:t>2</w:t>
      </w:r>
      <w:r w:rsidRPr="00546173">
        <w:rPr>
          <w:rFonts w:ascii="Times New Roman" w:eastAsia="Times New Roman" w:hAnsi="Times New Roman" w:cs="Times New Roman"/>
          <w:sz w:val="24"/>
          <w:szCs w:val="24"/>
          <w:lang w:eastAsia="cs-CZ"/>
        </w:rPr>
        <w:t>.</w:t>
      </w:r>
      <w:r w:rsidRPr="00546173">
        <w:rPr>
          <w:rFonts w:ascii="Times New Roman" w:eastAsia="Times New Roman" w:hAnsi="Times New Roman" w:cs="Times New Roman"/>
          <w:sz w:val="24"/>
          <w:szCs w:val="24"/>
          <w:lang w:eastAsia="cs-CZ"/>
        </w:rPr>
        <w:br/>
        <w:t>Od 1.1. 2016 – při pronájmu ucelené části budovy (bytu, nebytového prostoru) včetně družstevních bytů.</w:t>
      </w:r>
      <w:r w:rsidRPr="00546173">
        <w:rPr>
          <w:rFonts w:ascii="Times New Roman" w:eastAsia="Times New Roman" w:hAnsi="Times New Roman" w:cs="Times New Roman"/>
          <w:sz w:val="24"/>
          <w:szCs w:val="24"/>
          <w:lang w:eastAsia="cs-CZ"/>
        </w:rPr>
        <w:br/>
        <w:t xml:space="preserve">Od 1.1. 2017 – stávající bytové domy nebo administrativní budovy s celkovou energeticky vztažnou plochou větší než </w:t>
      </w:r>
      <w:r w:rsidRPr="00546173">
        <w:rPr>
          <w:rFonts w:ascii="Times New Roman" w:eastAsia="Times New Roman" w:hAnsi="Times New Roman" w:cs="Times New Roman"/>
          <w:sz w:val="24"/>
          <w:szCs w:val="24"/>
          <w:lang w:eastAsia="cs-CZ"/>
        </w:rPr>
        <w:br/>
        <w:t>                      1000m</w:t>
      </w:r>
      <w:r w:rsidRPr="00546173">
        <w:rPr>
          <w:rFonts w:ascii="Times New Roman" w:eastAsia="Times New Roman" w:hAnsi="Times New Roman" w:cs="Times New Roman"/>
          <w:sz w:val="24"/>
          <w:szCs w:val="24"/>
          <w:vertAlign w:val="superscript"/>
          <w:lang w:eastAsia="cs-CZ"/>
        </w:rPr>
        <w:t>2</w:t>
      </w:r>
      <w:r w:rsidRPr="00546173">
        <w:rPr>
          <w:rFonts w:ascii="Times New Roman" w:eastAsia="Times New Roman" w:hAnsi="Times New Roman" w:cs="Times New Roman"/>
          <w:sz w:val="24"/>
          <w:szCs w:val="24"/>
          <w:lang w:eastAsia="cs-CZ"/>
        </w:rPr>
        <w:t>.</w:t>
      </w:r>
      <w:r w:rsidRPr="00546173">
        <w:rPr>
          <w:rFonts w:ascii="Times New Roman" w:eastAsia="Times New Roman" w:hAnsi="Times New Roman" w:cs="Times New Roman"/>
          <w:sz w:val="24"/>
          <w:szCs w:val="24"/>
          <w:lang w:eastAsia="cs-CZ"/>
        </w:rPr>
        <w:br/>
        <w:t xml:space="preserve">Od 1.1. 2019 – stávající bytové domy nebo administrativní budovy s celkovou energeticky vztažnou plochou menší než </w:t>
      </w:r>
      <w:r w:rsidRPr="00546173">
        <w:rPr>
          <w:rFonts w:ascii="Times New Roman" w:eastAsia="Times New Roman" w:hAnsi="Times New Roman" w:cs="Times New Roman"/>
          <w:sz w:val="24"/>
          <w:szCs w:val="24"/>
          <w:lang w:eastAsia="cs-CZ"/>
        </w:rPr>
        <w:br/>
        <w:t>                      1000m</w:t>
      </w:r>
      <w:r w:rsidRPr="00546173">
        <w:rPr>
          <w:rFonts w:ascii="Times New Roman" w:eastAsia="Times New Roman" w:hAnsi="Times New Roman" w:cs="Times New Roman"/>
          <w:sz w:val="24"/>
          <w:szCs w:val="24"/>
          <w:vertAlign w:val="superscript"/>
          <w:lang w:eastAsia="cs-CZ"/>
        </w:rPr>
        <w:t>2</w:t>
      </w:r>
      <w:r w:rsidRPr="00546173">
        <w:rPr>
          <w:rFonts w:ascii="Times New Roman" w:eastAsia="Times New Roman" w:hAnsi="Times New Roman" w:cs="Times New Roman"/>
          <w:sz w:val="24"/>
          <w:szCs w:val="24"/>
          <w:lang w:eastAsia="cs-CZ"/>
        </w:rPr>
        <w:t>.</w:t>
      </w:r>
    </w:p>
    <w:p w:rsidR="00546173" w:rsidRPr="00546173" w:rsidRDefault="00546173" w:rsidP="00546173">
      <w:pPr>
        <w:spacing w:before="100" w:beforeAutospacing="1" w:after="100" w:afterAutospacing="1" w:line="240" w:lineRule="auto"/>
        <w:rPr>
          <w:rFonts w:ascii="Times New Roman" w:eastAsia="Times New Roman" w:hAnsi="Times New Roman" w:cs="Times New Roman"/>
          <w:sz w:val="24"/>
          <w:szCs w:val="24"/>
          <w:lang w:eastAsia="cs-CZ"/>
        </w:rPr>
      </w:pPr>
      <w:r w:rsidRPr="00546173">
        <w:rPr>
          <w:rFonts w:ascii="Times New Roman" w:eastAsia="Times New Roman" w:hAnsi="Times New Roman" w:cs="Times New Roman"/>
          <w:b/>
          <w:bCs/>
          <w:sz w:val="24"/>
          <w:szCs w:val="24"/>
          <w:lang w:eastAsia="cs-CZ"/>
        </w:rPr>
        <w:t>Stavby, které průkaz nepotřebují:</w:t>
      </w:r>
    </w:p>
    <w:p w:rsidR="00546173" w:rsidRPr="00546173" w:rsidRDefault="00546173" w:rsidP="00546173">
      <w:pPr>
        <w:spacing w:before="100" w:beforeAutospacing="1" w:after="100" w:afterAutospacing="1" w:line="240" w:lineRule="auto"/>
        <w:rPr>
          <w:rFonts w:ascii="Times New Roman" w:eastAsia="Times New Roman" w:hAnsi="Times New Roman" w:cs="Times New Roman"/>
          <w:sz w:val="24"/>
          <w:szCs w:val="24"/>
          <w:lang w:eastAsia="cs-CZ"/>
        </w:rPr>
      </w:pPr>
      <w:r w:rsidRPr="00546173">
        <w:rPr>
          <w:rFonts w:ascii="Times New Roman" w:eastAsia="Times New Roman" w:hAnsi="Times New Roman" w:cs="Times New Roman"/>
          <w:sz w:val="24"/>
          <w:szCs w:val="24"/>
          <w:lang w:eastAsia="cs-CZ"/>
        </w:rPr>
        <w:t>Budovy s celkovou energeticky vztažnou plochou menší než 50m</w:t>
      </w:r>
      <w:r w:rsidRPr="00546173">
        <w:rPr>
          <w:rFonts w:ascii="Times New Roman" w:eastAsia="Times New Roman" w:hAnsi="Times New Roman" w:cs="Times New Roman"/>
          <w:sz w:val="24"/>
          <w:szCs w:val="24"/>
          <w:vertAlign w:val="superscript"/>
          <w:lang w:eastAsia="cs-CZ"/>
        </w:rPr>
        <w:t>2</w:t>
      </w:r>
      <w:r w:rsidRPr="00546173">
        <w:rPr>
          <w:rFonts w:ascii="Times New Roman" w:eastAsia="Times New Roman" w:hAnsi="Times New Roman" w:cs="Times New Roman"/>
          <w:sz w:val="24"/>
          <w:szCs w:val="24"/>
          <w:lang w:eastAsia="cs-CZ"/>
        </w:rPr>
        <w:t xml:space="preserve">; budovy, které jsou kulturní památkou; místa pro bohoslužby a pro náboženské účely; stavby pro rodinou rekreaci, průmyslové a výrobní provozy, </w:t>
      </w:r>
      <w:proofErr w:type="spellStart"/>
      <w:r w:rsidRPr="00546173">
        <w:rPr>
          <w:rFonts w:ascii="Times New Roman" w:eastAsia="Times New Roman" w:hAnsi="Times New Roman" w:cs="Times New Roman"/>
          <w:sz w:val="24"/>
          <w:szCs w:val="24"/>
          <w:lang w:eastAsia="cs-CZ"/>
        </w:rPr>
        <w:t>dilenské</w:t>
      </w:r>
      <w:proofErr w:type="spellEnd"/>
      <w:r w:rsidRPr="00546173">
        <w:rPr>
          <w:rFonts w:ascii="Times New Roman" w:eastAsia="Times New Roman" w:hAnsi="Times New Roman" w:cs="Times New Roman"/>
          <w:sz w:val="24"/>
          <w:szCs w:val="24"/>
          <w:lang w:eastAsia="cs-CZ"/>
        </w:rPr>
        <w:t xml:space="preserve"> provozovny a zemědělské budovy se spotřebou energie do 700GJ za rok.</w:t>
      </w:r>
    </w:p>
    <w:p w:rsidR="00546173" w:rsidRPr="00546173" w:rsidRDefault="00546173" w:rsidP="00546173">
      <w:pPr>
        <w:spacing w:before="100" w:beforeAutospacing="1" w:after="100" w:afterAutospacing="1" w:line="240" w:lineRule="auto"/>
        <w:rPr>
          <w:rFonts w:ascii="Times New Roman" w:eastAsia="Times New Roman" w:hAnsi="Times New Roman" w:cs="Times New Roman"/>
          <w:sz w:val="24"/>
          <w:szCs w:val="24"/>
          <w:lang w:eastAsia="cs-CZ"/>
        </w:rPr>
      </w:pPr>
      <w:r w:rsidRPr="00546173">
        <w:rPr>
          <w:rFonts w:ascii="Times New Roman" w:eastAsia="Times New Roman" w:hAnsi="Times New Roman" w:cs="Times New Roman"/>
          <w:b/>
          <w:bCs/>
          <w:sz w:val="24"/>
          <w:szCs w:val="24"/>
          <w:lang w:eastAsia="cs-CZ"/>
        </w:rPr>
        <w:t>Rozdíl mezi Energetickým štítkem budovy a Energetickým průkazem budovy:</w:t>
      </w: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b/>
          <w:bCs/>
          <w:sz w:val="24"/>
          <w:szCs w:val="24"/>
          <w:lang w:eastAsia="cs-CZ"/>
        </w:rPr>
        <w:t xml:space="preserve">Energetický štítek budovy </w:t>
      </w:r>
      <w:r w:rsidRPr="00546173">
        <w:rPr>
          <w:rFonts w:ascii="Times New Roman" w:eastAsia="Times New Roman" w:hAnsi="Times New Roman" w:cs="Times New Roman"/>
          <w:sz w:val="24"/>
          <w:szCs w:val="24"/>
          <w:lang w:eastAsia="cs-CZ"/>
        </w:rPr>
        <w:t>zavádí ČSN 730540-2 a slouží pro zhodnocení budovy z hlediska prostupu tepla obálkou budovy, která se stanovuje pomocí požadované normové hodnoty prostupu tepla obálkou budovy pomocí průměrného součinitele prostupu tepla. Energetický štítek budovy je obdobou energetického štítku spotřebičů. Energetický štítek budovy tedy informuje o tom, zda objekt splňuje podmínky energeticky vyhovujícího objektu.</w:t>
      </w:r>
      <w:r w:rsidRPr="00546173">
        <w:rPr>
          <w:rFonts w:ascii="Times New Roman" w:eastAsia="Times New Roman" w:hAnsi="Times New Roman" w:cs="Times New Roman"/>
          <w:sz w:val="24"/>
          <w:szCs w:val="24"/>
          <w:lang w:eastAsia="cs-CZ"/>
        </w:rPr>
        <w:br/>
        <w:t>Zpracování a používání energetického štítku budovy není ze zákona povinné.</w:t>
      </w:r>
    </w:p>
    <w:p w:rsidR="00546173" w:rsidRPr="00546173" w:rsidRDefault="00546173" w:rsidP="0054617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46173">
        <w:rPr>
          <w:rFonts w:ascii="Times New Roman" w:eastAsia="Times New Roman" w:hAnsi="Times New Roman" w:cs="Times New Roman"/>
          <w:b/>
          <w:bCs/>
          <w:sz w:val="24"/>
          <w:szCs w:val="24"/>
          <w:lang w:eastAsia="cs-CZ"/>
        </w:rPr>
        <w:t xml:space="preserve">Průkaz energetické náročnosti budovy (PENB) </w:t>
      </w:r>
      <w:r w:rsidRPr="00546173">
        <w:rPr>
          <w:rFonts w:ascii="Times New Roman" w:eastAsia="Times New Roman" w:hAnsi="Times New Roman" w:cs="Times New Roman"/>
          <w:sz w:val="24"/>
          <w:szCs w:val="24"/>
          <w:lang w:eastAsia="cs-CZ"/>
        </w:rPr>
        <w:t>je definován zákonem. Průkaz energetické náročnosti budovy obsahuje informace o energetické náročnosti budovy vypočtené podle metody stanovené prováděcím právním předpisem. Energetická náročnost budovy se stanovuje výpočtem celkové roční dodané energie v GJ potřebné na vytápění, větrání, chlazení, klimatizaci, přípravu teplé vody a osvětlení při jejím standardizovaném užívání bilančním hodnocením.</w:t>
      </w:r>
    </w:p>
    <w:p w:rsidR="000944BF" w:rsidRDefault="000944BF"/>
    <w:sectPr w:rsidR="000944BF" w:rsidSect="00094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173"/>
    <w:rsid w:val="000944BF"/>
    <w:rsid w:val="005461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4BF"/>
  </w:style>
  <w:style w:type="paragraph" w:styleId="Nadpis2">
    <w:name w:val="heading 2"/>
    <w:basedOn w:val="Normln"/>
    <w:link w:val="Nadpis2Char"/>
    <w:uiPriority w:val="9"/>
    <w:qFormat/>
    <w:rsid w:val="0054617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46173"/>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461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46173"/>
    <w:rPr>
      <w:b/>
      <w:bCs/>
    </w:rPr>
  </w:style>
  <w:style w:type="paragraph" w:styleId="Textbubliny">
    <w:name w:val="Balloon Text"/>
    <w:basedOn w:val="Normln"/>
    <w:link w:val="TextbublinyChar"/>
    <w:uiPriority w:val="99"/>
    <w:semiHidden/>
    <w:unhideWhenUsed/>
    <w:rsid w:val="005461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6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061657">
      <w:bodyDiv w:val="1"/>
      <w:marLeft w:val="0"/>
      <w:marRight w:val="0"/>
      <w:marTop w:val="0"/>
      <w:marBottom w:val="0"/>
      <w:divBdr>
        <w:top w:val="none" w:sz="0" w:space="0" w:color="auto"/>
        <w:left w:val="none" w:sz="0" w:space="0" w:color="auto"/>
        <w:bottom w:val="none" w:sz="0" w:space="0" w:color="auto"/>
        <w:right w:val="none" w:sz="0" w:space="0" w:color="auto"/>
      </w:divBdr>
      <w:divsChild>
        <w:div w:id="1590844839">
          <w:marLeft w:val="0"/>
          <w:marRight w:val="0"/>
          <w:marTop w:val="0"/>
          <w:marBottom w:val="0"/>
          <w:divBdr>
            <w:top w:val="none" w:sz="0" w:space="0" w:color="auto"/>
            <w:left w:val="none" w:sz="0" w:space="0" w:color="auto"/>
            <w:bottom w:val="none" w:sz="0" w:space="0" w:color="auto"/>
            <w:right w:val="none" w:sz="0" w:space="0" w:color="auto"/>
          </w:divBdr>
          <w:divsChild>
            <w:div w:id="1965964975">
              <w:marLeft w:val="0"/>
              <w:marRight w:val="0"/>
              <w:marTop w:val="0"/>
              <w:marBottom w:val="0"/>
              <w:divBdr>
                <w:top w:val="none" w:sz="0" w:space="0" w:color="auto"/>
                <w:left w:val="none" w:sz="0" w:space="0" w:color="auto"/>
                <w:bottom w:val="none" w:sz="0" w:space="0" w:color="auto"/>
                <w:right w:val="none" w:sz="0" w:space="0" w:color="auto"/>
              </w:divBdr>
              <w:divsChild>
                <w:div w:id="978537390">
                  <w:marLeft w:val="0"/>
                  <w:marRight w:val="0"/>
                  <w:marTop w:val="0"/>
                  <w:marBottom w:val="0"/>
                  <w:divBdr>
                    <w:top w:val="none" w:sz="0" w:space="0" w:color="auto"/>
                    <w:left w:val="none" w:sz="0" w:space="0" w:color="auto"/>
                    <w:bottom w:val="none" w:sz="0" w:space="0" w:color="auto"/>
                    <w:right w:val="none" w:sz="0" w:space="0" w:color="auto"/>
                  </w:divBdr>
                  <w:divsChild>
                    <w:div w:id="1511676889">
                      <w:marLeft w:val="0"/>
                      <w:marRight w:val="0"/>
                      <w:marTop w:val="0"/>
                      <w:marBottom w:val="0"/>
                      <w:divBdr>
                        <w:top w:val="none" w:sz="0" w:space="0" w:color="auto"/>
                        <w:left w:val="none" w:sz="0" w:space="0" w:color="auto"/>
                        <w:bottom w:val="none" w:sz="0" w:space="0" w:color="auto"/>
                        <w:right w:val="none" w:sz="0" w:space="0" w:color="auto"/>
                      </w:divBdr>
                      <w:divsChild>
                        <w:div w:id="1727100585">
                          <w:marLeft w:val="0"/>
                          <w:marRight w:val="0"/>
                          <w:marTop w:val="0"/>
                          <w:marBottom w:val="0"/>
                          <w:divBdr>
                            <w:top w:val="none" w:sz="0" w:space="0" w:color="auto"/>
                            <w:left w:val="none" w:sz="0" w:space="0" w:color="auto"/>
                            <w:bottom w:val="none" w:sz="0" w:space="0" w:color="auto"/>
                            <w:right w:val="none" w:sz="0" w:space="0" w:color="auto"/>
                          </w:divBdr>
                          <w:divsChild>
                            <w:div w:id="1106383289">
                              <w:marLeft w:val="0"/>
                              <w:marRight w:val="0"/>
                              <w:marTop w:val="0"/>
                              <w:marBottom w:val="0"/>
                              <w:divBdr>
                                <w:top w:val="none" w:sz="0" w:space="0" w:color="auto"/>
                                <w:left w:val="none" w:sz="0" w:space="0" w:color="auto"/>
                                <w:bottom w:val="none" w:sz="0" w:space="0" w:color="auto"/>
                                <w:right w:val="none" w:sz="0" w:space="0" w:color="auto"/>
                              </w:divBdr>
                              <w:divsChild>
                                <w:div w:id="529801507">
                                  <w:marLeft w:val="0"/>
                                  <w:marRight w:val="0"/>
                                  <w:marTop w:val="0"/>
                                  <w:marBottom w:val="0"/>
                                  <w:divBdr>
                                    <w:top w:val="none" w:sz="0" w:space="0" w:color="auto"/>
                                    <w:left w:val="none" w:sz="0" w:space="0" w:color="auto"/>
                                    <w:bottom w:val="none" w:sz="0" w:space="0" w:color="auto"/>
                                    <w:right w:val="none" w:sz="0" w:space="0" w:color="auto"/>
                                  </w:divBdr>
                                  <w:divsChild>
                                    <w:div w:id="1072313669">
                                      <w:marLeft w:val="0"/>
                                      <w:marRight w:val="0"/>
                                      <w:marTop w:val="0"/>
                                      <w:marBottom w:val="0"/>
                                      <w:divBdr>
                                        <w:top w:val="none" w:sz="0" w:space="0" w:color="auto"/>
                                        <w:left w:val="none" w:sz="0" w:space="0" w:color="auto"/>
                                        <w:bottom w:val="none" w:sz="0" w:space="0" w:color="auto"/>
                                        <w:right w:val="none" w:sz="0" w:space="0" w:color="auto"/>
                                      </w:divBdr>
                                      <w:divsChild>
                                        <w:div w:id="349381519">
                                          <w:marLeft w:val="0"/>
                                          <w:marRight w:val="0"/>
                                          <w:marTop w:val="0"/>
                                          <w:marBottom w:val="0"/>
                                          <w:divBdr>
                                            <w:top w:val="none" w:sz="0" w:space="0" w:color="auto"/>
                                            <w:left w:val="none" w:sz="0" w:space="0" w:color="auto"/>
                                            <w:bottom w:val="none" w:sz="0" w:space="0" w:color="auto"/>
                                            <w:right w:val="none" w:sz="0" w:space="0" w:color="auto"/>
                                          </w:divBdr>
                                          <w:divsChild>
                                            <w:div w:id="971012552">
                                              <w:marLeft w:val="0"/>
                                              <w:marRight w:val="0"/>
                                              <w:marTop w:val="0"/>
                                              <w:marBottom w:val="0"/>
                                              <w:divBdr>
                                                <w:top w:val="none" w:sz="0" w:space="0" w:color="auto"/>
                                                <w:left w:val="none" w:sz="0" w:space="0" w:color="auto"/>
                                                <w:bottom w:val="none" w:sz="0" w:space="0" w:color="auto"/>
                                                <w:right w:val="none" w:sz="0" w:space="0" w:color="auto"/>
                                              </w:divBdr>
                                              <w:divsChild>
                                                <w:div w:id="1385065157">
                                                  <w:marLeft w:val="0"/>
                                                  <w:marRight w:val="0"/>
                                                  <w:marTop w:val="0"/>
                                                  <w:marBottom w:val="0"/>
                                                  <w:divBdr>
                                                    <w:top w:val="none" w:sz="0" w:space="0" w:color="auto"/>
                                                    <w:left w:val="none" w:sz="0" w:space="0" w:color="auto"/>
                                                    <w:bottom w:val="none" w:sz="0" w:space="0" w:color="auto"/>
                                                    <w:right w:val="none" w:sz="0" w:space="0" w:color="auto"/>
                                                  </w:divBdr>
                                                  <w:divsChild>
                                                    <w:div w:id="1666279220">
                                                      <w:marLeft w:val="0"/>
                                                      <w:marRight w:val="0"/>
                                                      <w:marTop w:val="0"/>
                                                      <w:marBottom w:val="0"/>
                                                      <w:divBdr>
                                                        <w:top w:val="none" w:sz="0" w:space="0" w:color="auto"/>
                                                        <w:left w:val="none" w:sz="0" w:space="0" w:color="auto"/>
                                                        <w:bottom w:val="none" w:sz="0" w:space="0" w:color="auto"/>
                                                        <w:right w:val="none" w:sz="0" w:space="0" w:color="auto"/>
                                                      </w:divBdr>
                                                      <w:divsChild>
                                                        <w:div w:id="3168238">
                                                          <w:marLeft w:val="0"/>
                                                          <w:marRight w:val="0"/>
                                                          <w:marTop w:val="0"/>
                                                          <w:marBottom w:val="0"/>
                                                          <w:divBdr>
                                                            <w:top w:val="none" w:sz="0" w:space="0" w:color="auto"/>
                                                            <w:left w:val="none" w:sz="0" w:space="0" w:color="auto"/>
                                                            <w:bottom w:val="none" w:sz="0" w:space="0" w:color="auto"/>
                                                            <w:right w:val="none" w:sz="0" w:space="0" w:color="auto"/>
                                                          </w:divBdr>
                                                          <w:divsChild>
                                                            <w:div w:id="499387449">
                                                              <w:marLeft w:val="0"/>
                                                              <w:marRight w:val="0"/>
                                                              <w:marTop w:val="0"/>
                                                              <w:marBottom w:val="0"/>
                                                              <w:divBdr>
                                                                <w:top w:val="none" w:sz="0" w:space="0" w:color="auto"/>
                                                                <w:left w:val="none" w:sz="0" w:space="0" w:color="auto"/>
                                                                <w:bottom w:val="none" w:sz="0" w:space="0" w:color="auto"/>
                                                                <w:right w:val="none" w:sz="0" w:space="0" w:color="auto"/>
                                                              </w:divBdr>
                                                              <w:divsChild>
                                                                <w:div w:id="10240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3228</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cp:lastPrinted>2013-02-06T12:25:00Z</cp:lastPrinted>
  <dcterms:created xsi:type="dcterms:W3CDTF">2013-02-06T12:22:00Z</dcterms:created>
  <dcterms:modified xsi:type="dcterms:W3CDTF">2013-02-06T12:25:00Z</dcterms:modified>
</cp:coreProperties>
</file>